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E6" w:rsidRPr="00206FE6" w:rsidRDefault="00206FE6" w:rsidP="00206FE6">
      <w:pPr>
        <w:spacing w:before="0" w:after="100" w:afterAutospacing="1" w:line="240" w:lineRule="auto"/>
        <w:jc w:val="left"/>
        <w:outlineLvl w:val="0"/>
        <w:rPr>
          <w:rFonts w:ascii="Source Sans Pro" w:eastAsia="Times New Roman" w:hAnsi="Source Sans Pro" w:cs="Times New Roman"/>
          <w:b/>
          <w:bCs/>
          <w:color w:val="212529"/>
          <w:kern w:val="36"/>
          <w:sz w:val="48"/>
          <w:szCs w:val="48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kern w:val="36"/>
          <w:sz w:val="48"/>
          <w:szCs w:val="48"/>
          <w:lang w:eastAsia="fr-BE"/>
        </w:rPr>
        <w:t>Déclaration d'accessibilité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Le Service Public Régional de Bruxelles s'engage à rendre le présent site internet accessible, conformément à l’ordonnance du 4 octobre 2018 relative à l’accessibilité des sites internet et des applications mobiles des organismes publics régionaux et des communes. 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br/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br/>
        <w:t>La présente déclaration sur l'accessibilité s'applique au site </w:t>
      </w:r>
      <w:hyperlink r:id="rId5" w:history="1">
        <w:r w:rsidRPr="00206FE6">
          <w:rPr>
            <w:rFonts w:ascii="Source Sans Pro" w:eastAsia="Times New Roman" w:hAnsi="Source Sans Pro" w:cs="Times New Roman"/>
            <w:color w:val="007BFF"/>
            <w:sz w:val="24"/>
            <w:szCs w:val="24"/>
            <w:highlight w:val="yellow"/>
            <w:u w:val="single"/>
            <w:lang w:eastAsia="fr-BE"/>
          </w:rPr>
          <w:t>[</w:t>
        </w:r>
        <w:proofErr w:type="spellStart"/>
        <w:r w:rsidRPr="00206FE6">
          <w:rPr>
            <w:rFonts w:ascii="Source Sans Pro" w:eastAsia="Times New Roman" w:hAnsi="Source Sans Pro" w:cs="Times New Roman"/>
            <w:color w:val="007BFF"/>
            <w:sz w:val="24"/>
            <w:szCs w:val="24"/>
            <w:highlight w:val="yellow"/>
            <w:u w:val="single"/>
            <w:lang w:eastAsia="fr-BE"/>
          </w:rPr>
          <w:t>address</w:t>
        </w:r>
        <w:proofErr w:type="spellEnd"/>
        <w:r w:rsidRPr="00206FE6">
          <w:rPr>
            <w:rFonts w:ascii="Source Sans Pro" w:eastAsia="Times New Roman" w:hAnsi="Source Sans Pro" w:cs="Times New Roman"/>
            <w:color w:val="007BFF"/>
            <w:sz w:val="24"/>
            <w:szCs w:val="24"/>
            <w:highlight w:val="yellow"/>
            <w:u w:val="single"/>
            <w:lang w:eastAsia="fr-BE"/>
          </w:rPr>
          <w:t>-du-</w:t>
        </w:r>
        <w:proofErr w:type="spellStart"/>
        <w:r w:rsidRPr="00206FE6">
          <w:rPr>
            <w:rFonts w:ascii="Source Sans Pro" w:eastAsia="Times New Roman" w:hAnsi="Source Sans Pro" w:cs="Times New Roman"/>
            <w:color w:val="007BFF"/>
            <w:sz w:val="24"/>
            <w:szCs w:val="24"/>
            <w:highlight w:val="yellow"/>
            <w:u w:val="single"/>
            <w:lang w:eastAsia="fr-BE"/>
          </w:rPr>
          <w:t>site.brussels</w:t>
        </w:r>
        <w:proofErr w:type="spellEnd"/>
        <w:r w:rsidRPr="00206FE6">
          <w:rPr>
            <w:rFonts w:ascii="Source Sans Pro" w:eastAsia="Times New Roman" w:hAnsi="Source Sans Pro" w:cs="Times New Roman"/>
            <w:color w:val="007BFF"/>
            <w:sz w:val="24"/>
            <w:szCs w:val="24"/>
            <w:highlight w:val="yellow"/>
            <w:u w:val="single"/>
            <w:lang w:eastAsia="fr-BE"/>
          </w:rPr>
          <w:t>]</w:t>
        </w:r>
      </w:hyperlink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outlineLvl w:val="1"/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  <w:t>État de conformité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Les Web Content </w:t>
      </w:r>
      <w:proofErr w:type="spellStart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Accessibility</w:t>
      </w:r>
      <w:proofErr w:type="spellEnd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 Guidelines (WCAG) rassemblent les normes applicables en matière d’exigences d’accessibilité pour les personnes souffrant d’un handicap. Ces règles sont réparties en trois niveaux : niveau A, niveau AA et niveau AAA.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Le présent site internet est en conformité partielle avec l’ordonnance du 4 octobre 2018 relative à l’accessibilité des sites internet et des applications mobiles des organismes publics régionaux et des communes, en raison de la non-conformité/des non-conformités énumérée(s) ci-dessous.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outlineLvl w:val="1"/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  <w:t>Contenu non accessible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Le contenu visé ci-après n'est pas accessible pour la/les raison(s) suivante(s) :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outlineLvl w:val="2"/>
        <w:rPr>
          <w:rFonts w:ascii="Source Sans Pro" w:eastAsia="Times New Roman" w:hAnsi="Source Sans Pro" w:cs="Times New Roman"/>
          <w:b/>
          <w:bCs/>
          <w:color w:val="212529"/>
          <w:sz w:val="27"/>
          <w:szCs w:val="27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sz w:val="27"/>
          <w:szCs w:val="27"/>
          <w:lang w:eastAsia="fr-BE"/>
        </w:rPr>
        <w:t>Non-conformité avec l'ordonnance régionale</w:t>
      </w:r>
    </w:p>
    <w:p w:rsidR="00206FE6" w:rsidRPr="00206FE6" w:rsidRDefault="00206FE6" w:rsidP="00206FE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[Lister la/les non-conformité(s) du site internet et/ou décrire quels section(s)/contenu(s)/fonction(s) ne sont pas encore conformes]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[+ Les mesures qui seront prises pour remédier au problème des contenus non accessibles des sites internet et des applications mobiles, y compris un calendrier de mise en œuvre de ces mesures]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outlineLvl w:val="1"/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  <w:t>Préparation de la présente déclaration sur l'accessibilité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La présente déclaration a été préparée le 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[compléter la date]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La conformité de ce site aux normes Web Content </w:t>
      </w:r>
      <w:proofErr w:type="spellStart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Accessibility</w:t>
      </w:r>
      <w:proofErr w:type="spellEnd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 Guidelines 2.1 niveau AA a été établie par </w:t>
      </w:r>
      <w:proofErr w:type="spellStart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AnySurfer</w:t>
      </w:r>
      <w:proofErr w:type="spellEnd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 (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 xml:space="preserve">[lien vers la page de statut </w:t>
      </w:r>
      <w:proofErr w:type="spellStart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AnySurfer</w:t>
      </w:r>
      <w:proofErr w:type="spellEnd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 xml:space="preserve"> / approbation officielle]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).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i/>
          <w:iCs/>
          <w:color w:val="212529"/>
          <w:sz w:val="24"/>
          <w:szCs w:val="24"/>
          <w:lang w:eastAsia="fr-BE"/>
        </w:rPr>
        <w:t>OU :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La méthode utilisée pour préparer cette déclaration:</w:t>
      </w:r>
    </w:p>
    <w:p w:rsidR="00206FE6" w:rsidRPr="00206FE6" w:rsidRDefault="00206FE6" w:rsidP="00206FE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lastRenderedPageBreak/>
        <w:t xml:space="preserve">une évaluation réalisée par 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[compléter le nom de l'organisation]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 xml:space="preserve">Le dernier réexamen de la déclaration a eu lieu le 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[compléter la date]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outlineLvl w:val="1"/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  <w:t>Retour d'information et coordonnées de contact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Pour toute demande d’information relative au contenu du présent site internet, pour signaler une absence de conformité ou simplement pour nous faire part de vos avis ou suggestions, contactez: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Service public régional de Bruxelles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br/>
        <w:t>Boulevard du Jardin Botanique, 20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br/>
        <w:t>1035 Bruxelles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br/>
        <w:t>Tel. : + 32 2 204 21 11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br/>
      </w:r>
      <w:hyperlink r:id="rId6" w:history="1">
        <w:r w:rsidRPr="00206FE6">
          <w:rPr>
            <w:rFonts w:ascii="Source Sans Pro" w:eastAsia="Times New Roman" w:hAnsi="Source Sans Pro" w:cs="Times New Roman"/>
            <w:color w:val="007BFF"/>
            <w:sz w:val="24"/>
            <w:szCs w:val="24"/>
            <w:highlight w:val="yellow"/>
            <w:u w:val="single"/>
            <w:lang w:eastAsia="fr-BE"/>
          </w:rPr>
          <w:t>info@sprb.brussels</w:t>
        </w:r>
      </w:hyperlink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]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outlineLvl w:val="1"/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</w:pPr>
      <w:r w:rsidRPr="00206FE6">
        <w:rPr>
          <w:rFonts w:ascii="Source Sans Pro" w:eastAsia="Times New Roman" w:hAnsi="Source Sans Pro" w:cs="Times New Roman"/>
          <w:b/>
          <w:bCs/>
          <w:color w:val="212529"/>
          <w:sz w:val="36"/>
          <w:szCs w:val="36"/>
          <w:lang w:eastAsia="fr-BE"/>
        </w:rPr>
        <w:t>Procédure permettant d'assurer le respect des dispositions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t>À déterminer.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i/>
          <w:iCs/>
          <w:color w:val="212529"/>
          <w:sz w:val="24"/>
          <w:szCs w:val="24"/>
          <w:lang w:eastAsia="fr-BE"/>
        </w:rPr>
        <w:t>OU</w:t>
      </w:r>
    </w:p>
    <w:p w:rsidR="00206FE6" w:rsidRPr="00206FE6" w:rsidRDefault="00206FE6" w:rsidP="00206FE6">
      <w:pPr>
        <w:spacing w:before="0" w:after="100" w:afterAutospacing="1" w:line="240" w:lineRule="auto"/>
        <w:jc w:val="left"/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</w:pP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[Fournir une description de la procédure, ainsi qu'un lien vers cette dernière, à suivre en cas de réponse non satisfaisante à une notification ou demande envoyée conformément à l'article 7, paragraphe 1, point b), de la directive</w:t>
      </w:r>
      <w:r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.</w:t>
      </w:r>
      <w:bookmarkStart w:id="0" w:name="_GoBack"/>
      <w:bookmarkEnd w:id="0"/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]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br/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lang w:eastAsia="fr-BE"/>
        </w:rPr>
        <w:br/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[Indiquer les coordonnées pour contacter l'organisme de contrôle compétent</w:t>
      </w:r>
      <w:r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.</w:t>
      </w:r>
      <w:r w:rsidRPr="00206FE6">
        <w:rPr>
          <w:rFonts w:ascii="Source Sans Pro" w:eastAsia="Times New Roman" w:hAnsi="Source Sans Pro" w:cs="Times New Roman"/>
          <w:color w:val="212529"/>
          <w:sz w:val="24"/>
          <w:szCs w:val="24"/>
          <w:highlight w:val="yellow"/>
          <w:lang w:eastAsia="fr-BE"/>
        </w:rPr>
        <w:t>]</w:t>
      </w:r>
    </w:p>
    <w:p w:rsidR="0065250E" w:rsidRDefault="0065250E" w:rsidP="00206FE6"/>
    <w:sectPr w:rsidR="0065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6435"/>
    <w:multiLevelType w:val="multilevel"/>
    <w:tmpl w:val="521453D2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18202FD8"/>
    <w:multiLevelType w:val="multilevel"/>
    <w:tmpl w:val="7A5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F099E"/>
    <w:multiLevelType w:val="multilevel"/>
    <w:tmpl w:val="3288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81CF7"/>
    <w:multiLevelType w:val="hybridMultilevel"/>
    <w:tmpl w:val="DC4875B4"/>
    <w:lvl w:ilvl="0" w:tplc="5F52205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E6"/>
    <w:rsid w:val="00206FE6"/>
    <w:rsid w:val="0065250E"/>
    <w:rsid w:val="008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09A"/>
  <w15:chartTrackingRefBased/>
  <w15:docId w15:val="{A4DBF3F0-ABD2-4D8A-B6FE-B231000C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19A"/>
    <w:pPr>
      <w:spacing w:before="240" w:after="240"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519A"/>
    <w:pPr>
      <w:keepNext/>
      <w:keepLines/>
      <w:numPr>
        <w:numId w:val="4"/>
      </w:numPr>
      <w:spacing w:before="480" w:after="260"/>
      <w:outlineLvl w:val="0"/>
    </w:pPr>
    <w:rPr>
      <w:rFonts w:eastAsiaTheme="majorEastAsia" w:cstheme="majorBidi"/>
      <w:b/>
      <w:bCs/>
      <w:color w:val="0A00BE"/>
      <w:sz w:val="2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D519A"/>
    <w:pPr>
      <w:numPr>
        <w:ilvl w:val="1"/>
      </w:numPr>
      <w:spacing w:after="24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D519A"/>
    <w:pPr>
      <w:numPr>
        <w:ilvl w:val="2"/>
      </w:numPr>
      <w:spacing w:before="240"/>
      <w:outlineLvl w:val="2"/>
    </w:pPr>
    <w:rPr>
      <w:rFonts w:eastAsia="Arial"/>
      <w:bCs/>
      <w:snapToGrid w:val="0"/>
    </w:rPr>
  </w:style>
  <w:style w:type="paragraph" w:styleId="Heading4">
    <w:name w:val="heading 4"/>
    <w:basedOn w:val="Heading3"/>
    <w:next w:val="Normal"/>
    <w:link w:val="Heading4Char"/>
    <w:unhideWhenUsed/>
    <w:qFormat/>
    <w:rsid w:val="008D519A"/>
    <w:pPr>
      <w:numPr>
        <w:ilvl w:val="3"/>
      </w:numPr>
      <w:outlineLvl w:val="3"/>
    </w:pPr>
    <w:rPr>
      <w:b w:val="0"/>
      <w:bCs w:val="0"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8D519A"/>
    <w:pPr>
      <w:keepNext/>
      <w:keepLines/>
      <w:spacing w:before="200" w:after="0"/>
      <w:outlineLvl w:val="4"/>
    </w:pPr>
    <w:rPr>
      <w:rFonts w:eastAsiaTheme="majorEastAsia" w:cstheme="majorBidi"/>
      <w:caps/>
      <w:color w:val="0A00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19A"/>
    <w:rPr>
      <w:rFonts w:ascii="Arial" w:eastAsiaTheme="majorEastAsia" w:hAnsi="Arial" w:cstheme="majorBidi"/>
      <w:b/>
      <w:bCs/>
      <w:color w:val="0A00BE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19A"/>
    <w:rPr>
      <w:rFonts w:ascii="Arial" w:eastAsiaTheme="majorEastAsia" w:hAnsi="Arial" w:cstheme="majorBidi"/>
      <w:b/>
      <w:color w:val="0A00BE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19A"/>
    <w:rPr>
      <w:rFonts w:ascii="Arial" w:eastAsia="Arial" w:hAnsi="Arial" w:cstheme="majorBidi"/>
      <w:b/>
      <w:bCs/>
      <w:snapToGrid w:val="0"/>
      <w:color w:val="0A00BE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D519A"/>
    <w:rPr>
      <w:rFonts w:ascii="Arial" w:eastAsia="Arial" w:hAnsi="Arial" w:cstheme="majorBidi"/>
      <w:iCs/>
      <w:snapToGrid w:val="0"/>
      <w:color w:val="0A00BE"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8D519A"/>
    <w:rPr>
      <w:rFonts w:ascii="Arial" w:eastAsiaTheme="majorEastAsia" w:hAnsi="Arial" w:cstheme="majorBidi"/>
      <w:caps/>
      <w:color w:val="0A00BE"/>
      <w:sz w:val="20"/>
    </w:rPr>
  </w:style>
  <w:style w:type="paragraph" w:styleId="NormalWeb">
    <w:name w:val="Normal (Web)"/>
    <w:basedOn w:val="Normal"/>
    <w:uiPriority w:val="99"/>
    <w:semiHidden/>
    <w:unhideWhenUsed/>
    <w:rsid w:val="00206F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semiHidden/>
    <w:unhideWhenUsed/>
    <w:rsid w:val="00206F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06FE6"/>
    <w:rPr>
      <w:i/>
      <w:iCs/>
    </w:rPr>
  </w:style>
  <w:style w:type="paragraph" w:styleId="ListParagraph">
    <w:name w:val="List Paragraph"/>
    <w:basedOn w:val="Normal"/>
    <w:uiPriority w:val="34"/>
    <w:qFormat/>
    <w:rsid w:val="0020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S:\WEB\Mod%C3%A8les\Disclaimers\info@sprb.brussels" TargetMode="External"/><Relationship Id="rId5" Type="http://schemas.openxmlformats.org/officeDocument/2006/relationships/hyperlink" Target="https://servicepublic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WAUTERS Olivier</dc:creator>
  <cp:keywords/>
  <dc:description/>
  <cp:lastModifiedBy>WAUTERS Olivier</cp:lastModifiedBy>
  <cp:revision>1</cp:revision>
  <dcterms:created xsi:type="dcterms:W3CDTF">2019-08-21T15:00:00Z</dcterms:created>
  <dcterms:modified xsi:type="dcterms:W3CDTF">2019-08-21T15:02:00Z</dcterms:modified>
</cp:coreProperties>
</file>